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_GB2312" w:hAnsi="仿宋_GB2312" w:eastAsia="仿宋_GB2312" w:cs="仿宋_GB2312"/>
          <w:b w:val="0"/>
          <w:bCs/>
          <w:sz w:val="28"/>
          <w:szCs w:val="28"/>
          <w:lang w:val="en-US" w:eastAsia="zh-CN"/>
        </w:rPr>
      </w:pPr>
      <w:bookmarkStart w:id="0" w:name="_Toc401913549"/>
      <w:r>
        <w:rPr>
          <w:rFonts w:hint="eastAsia" w:ascii="仿宋_GB2312" w:hAnsi="仿宋_GB2312" w:eastAsia="仿宋_GB2312" w:cs="仿宋_GB2312"/>
          <w:b w:val="0"/>
          <w:bCs/>
          <w:sz w:val="28"/>
          <w:szCs w:val="28"/>
          <w:lang w:val="en-US" w:eastAsia="zh-CN"/>
        </w:rPr>
        <w:t>附件三：</w:t>
      </w:r>
    </w:p>
    <w:p>
      <w:pPr>
        <w:pStyle w:val="2"/>
        <w:jc w:val="center"/>
        <w:rPr>
          <w:rFonts w:hint="eastAsia"/>
          <w:sz w:val="36"/>
          <w:szCs w:val="16"/>
        </w:rPr>
      </w:pPr>
      <w:r>
        <w:rPr>
          <w:rFonts w:hint="eastAsia"/>
          <w:sz w:val="36"/>
          <w:szCs w:val="16"/>
        </w:rPr>
        <w:t>华中师范大学“挑战杯”系列竞赛奖励办法（试行）</w:t>
      </w:r>
      <w:bookmarkEnd w:id="0"/>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挑战杯”竞赛是由共青团中央、中国科协、教育部、全国学联和承办高校所在地人民政府联合主办，国内著名高校和新闻媒体单位联合发起的一项具有导向性、示范性和群众性的全国竞赛活动，被誉为中国大学生学术科技的“奥林匹克”盛会。“挑战杯”系列竞赛包括大学生课外学术科技作品竞赛和大学生创业计划竞赛两项赛事，每项比赛两年举办一届，两项比赛交叉轮流举行。“挑战杯”系列竞赛一般分为校级选拔赛、省级复赛和全国决赛。</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为进一步调动广大师生参与课外学术科技活动的积极性，培养学生的实践能力和创新精神，营造良好的校园学术氛围，鼓励教师和学生积极参加“挑战杯”竞赛，结合我校实际，特制定本办法。</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一、奖励对象</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奖励对象为我校全日制研究生、本科生在国家级、省级的“挑战杯”课外学术科技作品竞赛和创业计划竞赛中获奖的团队（或个人）、指导教师以及积极做好组织工作的学院。</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二、对个人的奖励</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（一）对学生的奖励</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1．在国家级、省级“挑战杯”竞赛中获得奖项的团队（或个人）可获得由学校颁发的一次性奖金。奖金分配由获奖项目指导老师协商解决。标准如下：</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005"/>
        <w:gridCol w:w="1005"/>
        <w:gridCol w:w="1005"/>
        <w:gridCol w:w="1006"/>
        <w:gridCol w:w="1005"/>
        <w:gridCol w:w="1005"/>
        <w:gridCol w:w="1005"/>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8" w:type="dxa"/>
            <w:vMerge w:val="restart"/>
            <w:vAlign w:val="center"/>
          </w:tcPr>
          <w:p>
            <w:pPr>
              <w:widowControl/>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获奖</w:t>
            </w:r>
          </w:p>
          <w:p>
            <w:pPr>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级别</w:t>
            </w:r>
          </w:p>
        </w:tc>
        <w:tc>
          <w:tcPr>
            <w:tcW w:w="4021" w:type="dxa"/>
            <w:gridSpan w:val="4"/>
            <w:vAlign w:val="center"/>
          </w:tcPr>
          <w:p>
            <w:pPr>
              <w:widowControl/>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国家级</w:t>
            </w:r>
          </w:p>
        </w:tc>
        <w:tc>
          <w:tcPr>
            <w:tcW w:w="4021" w:type="dxa"/>
            <w:gridSpan w:val="4"/>
            <w:vAlign w:val="center"/>
          </w:tcPr>
          <w:p>
            <w:pPr>
              <w:widowControl/>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8" w:type="dxa"/>
            <w:vMerge w:val="continue"/>
            <w:vAlign w:val="center"/>
          </w:tcPr>
          <w:p>
            <w:pPr>
              <w:widowControl/>
              <w:snapToGrid w:val="0"/>
              <w:spacing w:line="360" w:lineRule="auto"/>
              <w:ind w:left="-107" w:leftChars="-50" w:right="-107" w:rightChars="-50"/>
              <w:jc w:val="center"/>
              <w:rPr>
                <w:rFonts w:hint="eastAsia" w:ascii="宋体" w:hAnsi="宋体" w:cs="宋体"/>
                <w:sz w:val="24"/>
                <w:szCs w:val="24"/>
              </w:rPr>
            </w:pPr>
          </w:p>
        </w:tc>
        <w:tc>
          <w:tcPr>
            <w:tcW w:w="1005" w:type="dxa"/>
            <w:vAlign w:val="center"/>
          </w:tcPr>
          <w:p>
            <w:pPr>
              <w:widowControl/>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特等</w:t>
            </w:r>
          </w:p>
        </w:tc>
        <w:tc>
          <w:tcPr>
            <w:tcW w:w="1005" w:type="dxa"/>
            <w:vAlign w:val="center"/>
          </w:tcPr>
          <w:p>
            <w:pPr>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一等/金奖</w:t>
            </w:r>
          </w:p>
        </w:tc>
        <w:tc>
          <w:tcPr>
            <w:tcW w:w="1005" w:type="dxa"/>
            <w:vAlign w:val="center"/>
          </w:tcPr>
          <w:p>
            <w:pPr>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二等/银奖</w:t>
            </w:r>
          </w:p>
        </w:tc>
        <w:tc>
          <w:tcPr>
            <w:tcW w:w="1006" w:type="dxa"/>
            <w:vAlign w:val="center"/>
          </w:tcPr>
          <w:p>
            <w:pPr>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三等/铜奖</w:t>
            </w:r>
          </w:p>
        </w:tc>
        <w:tc>
          <w:tcPr>
            <w:tcW w:w="1005" w:type="dxa"/>
            <w:vAlign w:val="center"/>
          </w:tcPr>
          <w:p>
            <w:pPr>
              <w:widowControl/>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特等</w:t>
            </w:r>
          </w:p>
        </w:tc>
        <w:tc>
          <w:tcPr>
            <w:tcW w:w="1005" w:type="dxa"/>
            <w:vAlign w:val="center"/>
          </w:tcPr>
          <w:p>
            <w:pPr>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一等/金奖</w:t>
            </w:r>
          </w:p>
        </w:tc>
        <w:tc>
          <w:tcPr>
            <w:tcW w:w="1005" w:type="dxa"/>
            <w:vAlign w:val="center"/>
          </w:tcPr>
          <w:p>
            <w:pPr>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二等/银奖</w:t>
            </w:r>
          </w:p>
        </w:tc>
        <w:tc>
          <w:tcPr>
            <w:tcW w:w="1006" w:type="dxa"/>
            <w:vAlign w:val="center"/>
          </w:tcPr>
          <w:p>
            <w:pPr>
              <w:snapToGrid w:val="0"/>
              <w:spacing w:line="360" w:lineRule="auto"/>
              <w:ind w:left="-107" w:leftChars="-50" w:right="-107" w:rightChars="-50"/>
              <w:jc w:val="center"/>
              <w:rPr>
                <w:rFonts w:hint="eastAsia" w:ascii="宋体" w:hAnsi="宋体" w:cs="宋体"/>
                <w:sz w:val="24"/>
                <w:szCs w:val="24"/>
              </w:rPr>
            </w:pPr>
            <w:r>
              <w:rPr>
                <w:rFonts w:hint="eastAsia" w:ascii="宋体" w:hAnsi="宋体" w:cs="宋体"/>
                <w:sz w:val="24"/>
                <w:szCs w:val="24"/>
              </w:rPr>
              <w:t>三等/铜奖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8"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奖金/元</w:t>
            </w:r>
          </w:p>
        </w:tc>
        <w:tc>
          <w:tcPr>
            <w:tcW w:w="1005"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pacing w:val="-20"/>
                <w:sz w:val="24"/>
                <w:szCs w:val="24"/>
              </w:rPr>
              <w:t>研究</w:t>
            </w:r>
            <w:r>
              <w:rPr>
                <w:rFonts w:hint="eastAsia" w:ascii="宋体" w:hAnsi="宋体" w:cs="宋体"/>
                <w:sz w:val="24"/>
                <w:szCs w:val="24"/>
              </w:rPr>
              <w:t>生20000</w:t>
            </w:r>
          </w:p>
          <w:p>
            <w:pPr>
              <w:widowControl/>
              <w:snapToGrid w:val="0"/>
              <w:spacing w:line="360" w:lineRule="auto"/>
              <w:jc w:val="center"/>
              <w:rPr>
                <w:rFonts w:hint="eastAsia" w:ascii="宋体" w:hAnsi="宋体" w:cs="宋体"/>
                <w:spacing w:val="-20"/>
                <w:sz w:val="24"/>
                <w:szCs w:val="24"/>
              </w:rPr>
            </w:pPr>
            <w:r>
              <w:rPr>
                <w:rFonts w:hint="eastAsia" w:ascii="宋体" w:hAnsi="宋体" w:cs="宋体"/>
                <w:spacing w:val="-20"/>
                <w:sz w:val="24"/>
                <w:szCs w:val="24"/>
              </w:rPr>
              <w:t>本科生</w:t>
            </w:r>
          </w:p>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10000</w:t>
            </w:r>
          </w:p>
        </w:tc>
        <w:tc>
          <w:tcPr>
            <w:tcW w:w="1005"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pacing w:val="-20"/>
                <w:sz w:val="24"/>
                <w:szCs w:val="24"/>
              </w:rPr>
              <w:t>研究生</w:t>
            </w:r>
            <w:r>
              <w:rPr>
                <w:rFonts w:hint="eastAsia" w:ascii="宋体" w:hAnsi="宋体" w:cs="宋体"/>
                <w:sz w:val="24"/>
                <w:szCs w:val="24"/>
              </w:rPr>
              <w:t>10000</w:t>
            </w:r>
          </w:p>
          <w:p>
            <w:pPr>
              <w:widowControl/>
              <w:snapToGrid w:val="0"/>
              <w:spacing w:line="360" w:lineRule="auto"/>
              <w:jc w:val="center"/>
              <w:rPr>
                <w:rFonts w:hint="eastAsia" w:ascii="宋体" w:hAnsi="宋体" w:cs="宋体"/>
                <w:spacing w:val="-20"/>
                <w:sz w:val="24"/>
                <w:szCs w:val="24"/>
              </w:rPr>
            </w:pPr>
            <w:r>
              <w:rPr>
                <w:rFonts w:hint="eastAsia" w:ascii="宋体" w:hAnsi="宋体" w:cs="宋体"/>
                <w:spacing w:val="-20"/>
                <w:sz w:val="24"/>
                <w:szCs w:val="24"/>
              </w:rPr>
              <w:t>本科生</w:t>
            </w:r>
          </w:p>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8000</w:t>
            </w:r>
          </w:p>
        </w:tc>
        <w:tc>
          <w:tcPr>
            <w:tcW w:w="1005"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5000</w:t>
            </w:r>
          </w:p>
        </w:tc>
        <w:tc>
          <w:tcPr>
            <w:tcW w:w="1006"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3000</w:t>
            </w:r>
          </w:p>
        </w:tc>
        <w:tc>
          <w:tcPr>
            <w:tcW w:w="1005"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3000</w:t>
            </w:r>
          </w:p>
        </w:tc>
        <w:tc>
          <w:tcPr>
            <w:tcW w:w="1005"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2000</w:t>
            </w:r>
          </w:p>
        </w:tc>
        <w:tc>
          <w:tcPr>
            <w:tcW w:w="1005"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1000</w:t>
            </w:r>
          </w:p>
        </w:tc>
        <w:tc>
          <w:tcPr>
            <w:tcW w:w="1006"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800</w:t>
            </w:r>
          </w:p>
        </w:tc>
      </w:tr>
    </w:tbl>
    <w:p>
      <w:pPr>
        <w:snapToGrid w:val="0"/>
        <w:spacing w:after="78" w:afterLines="25" w:line="360" w:lineRule="auto"/>
        <w:ind w:firstLine="486" w:firstLineChars="200"/>
        <w:rPr>
          <w:rFonts w:hint="eastAsia" w:ascii="宋体" w:hAnsi="宋体" w:cs="宋体"/>
          <w:sz w:val="24"/>
          <w:szCs w:val="24"/>
        </w:rPr>
      </w:pPr>
      <w:r>
        <w:rPr>
          <w:rFonts w:hint="eastAsia" w:ascii="宋体" w:hAnsi="宋体" w:cs="宋体"/>
          <w:sz w:val="24"/>
          <w:szCs w:val="24"/>
        </w:rPr>
        <w:t>备注：凡同一项目多次获奖，学校均按就高的原则给予一次性奖励。</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2. 在“挑战杯”竞赛中，获国家级特等奖的个人或团队（前三位作者）、一等奖（金奖）的个人或团队（前两位作者）、获国家级二等奖（银奖）的个人或团队（第一作者），原则上满足基本条件，可直接获得免试攻读硕士学位资格，不占学院指标，团队其他成员及获国家级三等奖（铜奖）的前五位作者；以及省级获奖的个人或团体（前三位作者）在同等条件下优先推荐免试攻读硕士研究生。</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3. 对在国家级“挑战杯”竞赛中获奖的个人或团队（前三位作者），学校授予“华中师范大学‘挑战之星’”称号。</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（二）对教师的奖励</w:t>
      </w:r>
    </w:p>
    <w:p>
      <w:pPr>
        <w:snapToGrid w:val="0"/>
        <w:spacing w:after="78" w:afterLines="25" w:line="360" w:lineRule="auto"/>
        <w:ind w:firstLine="486" w:firstLineChars="200"/>
        <w:rPr>
          <w:rFonts w:hint="eastAsia" w:ascii="宋体" w:hAnsi="宋体" w:cs="宋体"/>
          <w:sz w:val="24"/>
          <w:szCs w:val="24"/>
        </w:rPr>
      </w:pPr>
      <w:r>
        <w:rPr>
          <w:rFonts w:hint="eastAsia" w:ascii="宋体" w:hAnsi="宋体" w:cs="宋体"/>
          <w:sz w:val="24"/>
          <w:szCs w:val="24"/>
        </w:rPr>
        <w:t>1．教师组（或教师）指导学生项目在国家级“挑战杯”竞赛中获得奖项的可获得由学校颁发的一次性奖金，奖金由教师组负责人（排名第一）执行分配。标准如下：</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713"/>
        <w:gridCol w:w="1713"/>
        <w:gridCol w:w="171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restart"/>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获奖</w:t>
            </w:r>
          </w:p>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级别</w:t>
            </w:r>
          </w:p>
        </w:tc>
        <w:tc>
          <w:tcPr>
            <w:tcW w:w="6852" w:type="dxa"/>
            <w:gridSpan w:val="4"/>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vAlign w:val="center"/>
          </w:tcPr>
          <w:p>
            <w:pPr>
              <w:widowControl/>
              <w:snapToGrid w:val="0"/>
              <w:spacing w:line="360" w:lineRule="auto"/>
              <w:jc w:val="center"/>
              <w:rPr>
                <w:rFonts w:hint="eastAsia" w:ascii="宋体" w:hAnsi="宋体" w:cs="宋体"/>
                <w:sz w:val="24"/>
                <w:szCs w:val="24"/>
              </w:rPr>
            </w:pP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特等</w:t>
            </w: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一等/金奖</w:t>
            </w: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二等/银奖</w:t>
            </w: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三等/铜奖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奖金/元</w:t>
            </w: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20000</w:t>
            </w: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10000</w:t>
            </w: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5000</w:t>
            </w:r>
          </w:p>
        </w:tc>
        <w:tc>
          <w:tcPr>
            <w:tcW w:w="1713" w:type="dxa"/>
            <w:vAlign w:val="center"/>
          </w:tcPr>
          <w:p>
            <w:pPr>
              <w:widowControl/>
              <w:snapToGrid w:val="0"/>
              <w:spacing w:line="360" w:lineRule="auto"/>
              <w:jc w:val="center"/>
              <w:rPr>
                <w:rFonts w:hint="eastAsia" w:ascii="宋体" w:hAnsi="宋体" w:cs="宋体"/>
                <w:sz w:val="24"/>
                <w:szCs w:val="24"/>
              </w:rPr>
            </w:pPr>
            <w:r>
              <w:rPr>
                <w:rFonts w:hint="eastAsia" w:ascii="宋体" w:hAnsi="宋体" w:cs="宋体"/>
                <w:sz w:val="24"/>
                <w:szCs w:val="24"/>
              </w:rPr>
              <w:t>3000</w:t>
            </w:r>
          </w:p>
        </w:tc>
      </w:tr>
    </w:tbl>
    <w:p>
      <w:pPr>
        <w:snapToGrid w:val="0"/>
        <w:spacing w:line="360" w:lineRule="auto"/>
        <w:rPr>
          <w:rFonts w:hint="eastAsia" w:ascii="宋体" w:hAnsi="宋体" w:cs="宋体"/>
          <w:sz w:val="24"/>
          <w:szCs w:val="24"/>
        </w:rPr>
      </w:pP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2．教师组（或教师）指导学生项目指导学生项目在国家级、省级“挑战杯”竞赛中获得奖项的记30个课时量。</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3．对于指导学生项目在国家级、省级“挑战杯”竞赛中获奖的教师组（或教师），学校授予“华中师范大学‘挑战杯’竞赛优秀指导教师”称号。</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4．对于指导学生在国家级“挑战杯”竞赛中获奖的指导教师，学校在其岗位聘任、职称晋升、履职考核中可优先考虑。</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三、对学院组织工作的奖励</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（一）学校以积分的方式对各学院组织工作进行评选，奖励在“挑战杯”全国赛组织工作中贡献突出的学院。</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1.“挑战杯”全国大学生课外学术科技作品竞赛</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①在“挑战杯”校赛中，每件申报作品计1分；入围终审决赛的作品，每件计2分；获得特、一、二、三等奖分别计8、5、3、2分。</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②在“挑战杯”省赛中，每件入围作品计3分；获得特、一、二、三等奖的作品分别计10、8、6、4分。</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③在“挑战杯”国赛中，每件申报作品计5分；参加遴选答辩的作品，每件计8分；获得特、一、二、三等奖的作品分别计40、30、20、10分。</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2.“挑战杯”中国大学生创业计划竞赛</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①校内赛：金奖，作品来源学院计10分，队长所在学院计8分，队员所在学院计6分；银奖，作品来源学院计8分，队长所在学院计6分，队员所在学院计4分；铜奖，作品来源学院计6分，队长所在学院计4分，队员所在学院计2分；优胜奖，作品来源学院计4分，队长所在学院计2分，队员所在学院计1分。</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②省赛：金奖，作品来源学院计20分，队长所在学院计18分，队员所在学院计8分；银奖，作品来源学院计18分，队长所在学院计16分，队员所在学院计6分；铜奖，作品来源学院计16分，队长所在学院计14分，队员所在学院计5分。</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③全国赛：金奖，作品来源学院计30分，队长所在学院计30分，队员所在学院计12分；银奖，作品来源学院计25分，队长所在学院计25分，队员所在学院计10分；铜奖，作品来源学院计20分，队长所在学院计20分，队员所在学院计8分。</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3. 单件作品只取最高分。</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（二）奖励办法</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1．“挑战杯”国赛结束后根据各学院总积分，对获得前六名的学院分别进行奖励：第一名学院奖励学生课外科创活动专项经费5000元；第二、三名学院各奖励学生课外科创活动专项经费3000元；第四至第六名学院各奖励学生课外科创活动专项经费2000元。</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2．在本届“挑战杯”国赛中获奖的学院，可在下一届“挑战杯”校赛中可额外加报2件作品，在本届“挑战杯”省赛中获奖的学院可额外报送1件作品。额外报送作品最多为2件。</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3. 各学院组织开展学生课外科技活动的情况及学生参加“挑战杯”参赛成果将在教学评估和共青团工作评估中予以体现。</w:t>
      </w:r>
    </w:p>
    <w:p>
      <w:pPr>
        <w:snapToGrid w:val="0"/>
        <w:spacing w:line="360" w:lineRule="auto"/>
        <w:ind w:firstLine="486" w:firstLineChars="200"/>
        <w:rPr>
          <w:rFonts w:hint="eastAsia" w:ascii="宋体" w:hAnsi="宋体" w:cs="宋体"/>
          <w:sz w:val="24"/>
          <w:szCs w:val="24"/>
        </w:rPr>
      </w:pPr>
      <w:r>
        <w:rPr>
          <w:rFonts w:hint="eastAsia" w:ascii="宋体" w:hAnsi="宋体" w:cs="宋体"/>
          <w:sz w:val="24"/>
          <w:szCs w:val="24"/>
        </w:rPr>
        <w:t>4. 对于表现突出的学院，授予“华中师范大学‘挑战杯’竞赛优秀组织奖”称号；对于在竞赛组织工作中表现突出的个人，授予“华中师范大学‘挑战杯’先进工作者”称号。</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auto"/>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bookmarkStart w:id="1" w:name="_GoBack"/>
    <w:r>
      <w:rPr>
        <w:rFonts w:hint="eastAsia" w:eastAsiaTheme="minorEastAsia"/>
        <w:lang w:eastAsia="zh-CN"/>
      </w:rPr>
      <w:drawing>
        <wp:inline distT="0" distB="0" distL="114300" distR="114300">
          <wp:extent cx="3323590" cy="304800"/>
          <wp:effectExtent l="0" t="0" r="3810"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
                  <a:stretch>
                    <a:fillRect/>
                  </a:stretch>
                </pic:blipFill>
                <pic:spPr>
                  <a:xfrm>
                    <a:off x="0" y="0"/>
                    <a:ext cx="3323590" cy="304800"/>
                  </a:xfrm>
                  <a:prstGeom prst="rect">
                    <a:avLst/>
                  </a:prstGeom>
                </pic:spPr>
              </pic:pic>
            </a:graphicData>
          </a:graphic>
        </wp:inline>
      </w:drawing>
    </w:r>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inline distT="0" distB="0" distL="114300" distR="114300">
          <wp:extent cx="5273040" cy="790575"/>
          <wp:effectExtent l="0" t="0" r="0" b="9525"/>
          <wp:docPr id="1" name="图片 1" descr="字带院徽副本 透明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字带院徽副本 透明底(1)"/>
                  <pic:cNvPicPr>
                    <a:picLocks noChangeAspect="1"/>
                  </pic:cNvPicPr>
                </pic:nvPicPr>
                <pic:blipFill>
                  <a:blip r:embed="rId1"/>
                  <a:stretch>
                    <a:fillRect/>
                  </a:stretch>
                </pic:blipFill>
                <pic:spPr>
                  <a:xfrm>
                    <a:off x="0" y="0"/>
                    <a:ext cx="5273040"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05E63"/>
    <w:rsid w:val="273A0FA1"/>
    <w:rsid w:val="61005E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2016-10-26T02:55:00Z</dcterms:created>
  <dc:creator>apple</dc:creator>
  <cp:lastModifiedBy>apple</cp:lastModifiedBy>
  <dcterms:modified xsi:type="dcterms:W3CDTF">2016-10-26T04:53:46Z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