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600" w:lineRule="exact"/>
        <w:rPr>
          <w:rFonts w:hint="default" w:ascii="黑体" w:hAnsi="黑体" w:eastAsia="黑体" w:cs="方正小标宋简体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hAnsi="黑体" w:eastAsia="黑体" w:cs="方正小标宋简体"/>
          <w:b w:val="0"/>
          <w:bCs w:val="0"/>
          <w:color w:val="000000" w:themeColor="text1"/>
          <w:sz w:val="32"/>
          <w:szCs w:val="32"/>
          <w:shd w:val="clear" w:color="auto" w:fill="FFFFFF"/>
        </w:rPr>
        <w:t>附件1</w:t>
      </w:r>
    </w:p>
    <w:p/>
    <w:p>
      <w:pPr>
        <w:pStyle w:val="2"/>
        <w:widowControl/>
        <w:shd w:val="clear" w:color="auto" w:fill="FFFFFF"/>
        <w:spacing w:beforeAutospacing="0" w:after="312" w:afterLines="10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</w:rPr>
        <w:t>华中师范大学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</w:rPr>
        <w:t>城市与环境科学学院</w:t>
      </w:r>
    </w:p>
    <w:p>
      <w:pPr>
        <w:pStyle w:val="2"/>
        <w:widowControl/>
        <w:shd w:val="clear" w:color="auto" w:fill="FFFFFF"/>
        <w:spacing w:beforeAutospacing="0" w:after="312" w:afterLines="100" w:afterAutospacing="0" w:line="60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3C3C3C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</w:rPr>
        <w:t>赴香港—澳门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</w:rPr>
        <w:t>访学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</w:rPr>
        <w:t>行程</w:t>
      </w:r>
      <w:r>
        <w:rPr>
          <w:rFonts w:ascii="微软雅黑" w:hAnsi="微软雅黑" w:eastAsia="微软雅黑" w:cs="微软雅黑"/>
          <w:b w:val="0"/>
          <w:bCs w:val="0"/>
          <w:color w:val="000000" w:themeColor="text1"/>
          <w:sz w:val="21"/>
          <w:szCs w:val="21"/>
        </w:rPr>
        <w:t xml:space="preserve">    </w:t>
      </w:r>
      <w:r>
        <w:rPr>
          <w:rFonts w:ascii="微软雅黑" w:hAnsi="微软雅黑" w:eastAsia="微软雅黑" w:cs="微软雅黑"/>
          <w:b w:val="0"/>
          <w:bCs w:val="0"/>
          <w:sz w:val="21"/>
          <w:szCs w:val="21"/>
        </w:rPr>
        <w:t xml:space="preserve">  </w:t>
      </w:r>
      <w:bookmarkEnd w:id="0"/>
      <w:r>
        <w:rPr>
          <w:rFonts w:ascii="微软雅黑" w:hAnsi="微软雅黑" w:eastAsia="微软雅黑" w:cs="微软雅黑"/>
          <w:b w:val="0"/>
          <w:bCs w:val="0"/>
          <w:sz w:val="21"/>
          <w:szCs w:val="21"/>
        </w:rPr>
        <w:t xml:space="preserve">                          </w:t>
      </w:r>
    </w:p>
    <w:tbl>
      <w:tblPr>
        <w:tblStyle w:val="3"/>
        <w:tblW w:w="5000" w:type="pct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3600"/>
        <w:gridCol w:w="377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76" w:type="pct"/>
            <w:vMerge w:val="restart"/>
            <w:shd w:val="clear" w:color="auto" w:fill="FFFFFF" w:themeFill="background1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  <w:t>时 间</w:t>
            </w:r>
          </w:p>
        </w:tc>
        <w:tc>
          <w:tcPr>
            <w:tcW w:w="4324" w:type="pct"/>
            <w:gridSpan w:val="2"/>
            <w:shd w:val="clear" w:color="auto" w:fill="FFFFFF" w:themeFill="background1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  <w:t>项 目 内 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6" w:type="pct"/>
            <w:vMerge w:val="continue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2" w:type="pct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上午</w:t>
            </w:r>
          </w:p>
        </w:tc>
        <w:tc>
          <w:tcPr>
            <w:tcW w:w="2212" w:type="pct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下午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76" w:type="pct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Day1</w:t>
            </w:r>
          </w:p>
        </w:tc>
        <w:tc>
          <w:tcPr>
            <w:tcW w:w="4324" w:type="pct"/>
            <w:gridSpan w:val="2"/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  <w:t>武汉-深圳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乘车赴武昌火车站，再乘坐火车前往深圳。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676" w:type="pct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Day2</w:t>
            </w:r>
          </w:p>
        </w:tc>
        <w:tc>
          <w:tcPr>
            <w:tcW w:w="2112" w:type="pct"/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  <w:t>深圳-香港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经由莲塘口岸过关，抵达香港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  <w:t>机构参访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香港环境资源中心</w:t>
            </w:r>
          </w:p>
        </w:tc>
        <w:tc>
          <w:tcPr>
            <w:tcW w:w="2212" w:type="pct"/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  <w:t>企业机构参访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凤凰卫视、香港大馆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  <w:t>人文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交流</w:t>
            </w:r>
          </w:p>
          <w:p>
            <w:pPr>
              <w:spacing w:line="440" w:lineRule="exact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故宫文化博物馆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人文体验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76" w:type="pct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Day3</w:t>
            </w:r>
          </w:p>
        </w:tc>
        <w:tc>
          <w:tcPr>
            <w:tcW w:w="2112" w:type="pct"/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  <w:t>学校交流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城市环保产业化主题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香港中文大学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、香港大学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许士芬地质博物馆</w:t>
            </w:r>
          </w:p>
        </w:tc>
        <w:tc>
          <w:tcPr>
            <w:tcW w:w="2212" w:type="pct"/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  <w:t>自由活动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76" w:type="pct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Day4</w:t>
            </w:r>
          </w:p>
        </w:tc>
        <w:tc>
          <w:tcPr>
            <w:tcW w:w="2112" w:type="pct"/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  <w:t>机构参访</w:t>
            </w:r>
          </w:p>
          <w:p>
            <w:pPr>
              <w:spacing w:line="440" w:lineRule="exact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香港绿化教育资源中心、南丰纱厂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世界地质公园</w:t>
            </w:r>
          </w:p>
        </w:tc>
        <w:tc>
          <w:tcPr>
            <w:tcW w:w="2212" w:type="pct"/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  <w:t>机构参访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香港展城馆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文化参访</w:t>
            </w:r>
          </w:p>
          <w:p>
            <w:pPr>
              <w:spacing w:line="440" w:lineRule="exact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香港科学馆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太平山顶、维多利亚港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76" w:type="pct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Day5</w:t>
            </w:r>
          </w:p>
        </w:tc>
        <w:tc>
          <w:tcPr>
            <w:tcW w:w="2112" w:type="pct"/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  <w:t>香港-澳门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通过港珠澳大桥前往澳门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  <w:t>人文考察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回归纪念金莲花广场</w:t>
            </w:r>
          </w:p>
        </w:tc>
        <w:tc>
          <w:tcPr>
            <w:tcW w:w="2212" w:type="pct"/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  <w:t>校园参访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澳门大学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76" w:type="pct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Day6</w:t>
            </w:r>
          </w:p>
        </w:tc>
        <w:tc>
          <w:tcPr>
            <w:tcW w:w="4324" w:type="pct"/>
            <w:gridSpan w:val="2"/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  <w:t>澳门-深圳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经由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拱北口岸返回珠海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地理调研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珠海飞沙滩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  <w:t>文化参访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：珠海市博物馆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乘坐城际列车（或大巴）前往广州南站，乘坐高铁火车返回武汉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20:00-21:00 抵达武汉，乘车返回华师校园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注：项目参访顺序可能会根据实际出发日期略作调整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ZDgxOTYyNGViNGExYjRjNzU4NGRhMDUxODIyNGI1YzcifQ=="/>
  </w:docVars>
  <w:rsids>
    <w:rsidRoot w:val="00480E9B"/>
    <w:rsid w:val="000E548B"/>
    <w:rsid w:val="00480E9B"/>
    <w:rsid w:val="00863FDC"/>
    <w:rsid w:val="00B654E2"/>
    <w:rsid w:val="3D70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5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autoRedefine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388</Characters>
  <Lines>3</Lines>
  <Paragraphs>1</Paragraphs>
  <TotalTime>0</TotalTime>
  <ScaleCrop>false</ScaleCrop>
  <LinksUpToDate>false</LinksUpToDate>
  <CharactersWithSpaces>455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2024-03-25T07:11:00Z</dcterms:created>
  <dc:creator>琴夏 王</dc:creator>
  <cp:lastModifiedBy>M_AN鳗大鱼</cp:lastModifiedBy>
  <dcterms:modified xsi:type="dcterms:W3CDTF">2024-04-16T01:26:19Z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19D7D89A85FD406FAD247F88F74539CC_12</vt:lpwstr>
  </property>
</Properties>
</file>